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97" w:rsidRPr="00881B7F" w:rsidRDefault="00E73909" w:rsidP="00881B7F">
      <w:pPr>
        <w:pStyle w:val="ListBullet"/>
        <w:numPr>
          <w:ilvl w:val="0"/>
          <w:numId w:val="0"/>
        </w:numPr>
        <w:spacing w:line="240" w:lineRule="auto"/>
        <w:ind w:left="360" w:hanging="360"/>
        <w:rPr>
          <w:rFonts w:cs="Times New Roman"/>
          <w:b/>
          <w:sz w:val="20"/>
          <w:szCs w:val="20"/>
          <w:u w:val="single"/>
        </w:rPr>
      </w:pPr>
      <w:r w:rsidRPr="00881B7F">
        <w:rPr>
          <w:rFonts w:cs="Times New Roman"/>
          <w:b/>
          <w:sz w:val="20"/>
          <w:szCs w:val="20"/>
          <w:u w:val="single"/>
        </w:rPr>
        <w:t>Liquor Pricing Rules for Washington:</w:t>
      </w:r>
    </w:p>
    <w:p w:rsidR="00E73909" w:rsidRPr="00881B7F" w:rsidRDefault="00E73909" w:rsidP="00881B7F">
      <w:pPr>
        <w:pStyle w:val="ListBullet"/>
        <w:numPr>
          <w:ilvl w:val="0"/>
          <w:numId w:val="0"/>
        </w:numPr>
        <w:spacing w:line="240" w:lineRule="auto"/>
        <w:ind w:left="360" w:hanging="360"/>
        <w:rPr>
          <w:rFonts w:cs="Times New Roman"/>
          <w:sz w:val="20"/>
          <w:szCs w:val="20"/>
        </w:rPr>
      </w:pPr>
    </w:p>
    <w:p w:rsidR="00E73909" w:rsidRPr="00881B7F" w:rsidRDefault="00E73909" w:rsidP="00881B7F">
      <w:pPr>
        <w:pStyle w:val="ListBullet"/>
        <w:spacing w:line="240" w:lineRule="auto"/>
        <w:rPr>
          <w:rFonts w:cs="Times New Roman"/>
          <w:b/>
          <w:bCs/>
          <w:sz w:val="20"/>
          <w:szCs w:val="20"/>
        </w:rPr>
      </w:pPr>
      <w:r w:rsidRPr="00881B7F">
        <w:rPr>
          <w:rFonts w:cs="Times New Roman"/>
          <w:b/>
          <w:bCs/>
          <w:sz w:val="20"/>
          <w:szCs w:val="20"/>
        </w:rPr>
        <w:t>Liquor Pricing Information</w:t>
      </w:r>
    </w:p>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xml:space="preserve">The retail price of liquor sold in state and contract liquor stores </w:t>
      </w:r>
      <w:proofErr w:type="gramStart"/>
      <w:r w:rsidRPr="00881B7F">
        <w:rPr>
          <w:rFonts w:cs="Times New Roman"/>
          <w:sz w:val="20"/>
          <w:szCs w:val="20"/>
        </w:rPr>
        <w:t>is determined</w:t>
      </w:r>
      <w:proofErr w:type="gramEnd"/>
      <w:r w:rsidRPr="00881B7F">
        <w:rPr>
          <w:rFonts w:cs="Times New Roman"/>
          <w:sz w:val="20"/>
          <w:szCs w:val="20"/>
        </w:rPr>
        <w:t xml:space="preserve"> by five elements.</w:t>
      </w:r>
    </w:p>
    <w:p w:rsidR="00E73909" w:rsidRPr="00881B7F" w:rsidRDefault="00E73909" w:rsidP="00881B7F">
      <w:pPr>
        <w:pStyle w:val="ListBullet"/>
        <w:numPr>
          <w:ilvl w:val="0"/>
          <w:numId w:val="2"/>
        </w:numPr>
        <w:spacing w:line="240" w:lineRule="auto"/>
        <w:rPr>
          <w:rFonts w:cs="Times New Roman"/>
          <w:sz w:val="20"/>
          <w:szCs w:val="20"/>
        </w:rPr>
      </w:pPr>
      <w:r w:rsidRPr="00881B7F">
        <w:rPr>
          <w:rFonts w:cs="Times New Roman"/>
          <w:sz w:val="20"/>
          <w:szCs w:val="20"/>
        </w:rPr>
        <w:t>Distiller's, brewer's or vintner's price to the Board</w:t>
      </w:r>
    </w:p>
    <w:p w:rsidR="00E73909" w:rsidRPr="00881B7F" w:rsidRDefault="00E73909" w:rsidP="00881B7F">
      <w:pPr>
        <w:pStyle w:val="ListBullet"/>
        <w:numPr>
          <w:ilvl w:val="0"/>
          <w:numId w:val="2"/>
        </w:numPr>
        <w:spacing w:line="240" w:lineRule="auto"/>
        <w:rPr>
          <w:rFonts w:cs="Times New Roman"/>
          <w:sz w:val="20"/>
          <w:szCs w:val="20"/>
        </w:rPr>
      </w:pPr>
      <w:r w:rsidRPr="00881B7F">
        <w:rPr>
          <w:rFonts w:cs="Times New Roman"/>
          <w:sz w:val="20"/>
          <w:szCs w:val="20"/>
        </w:rPr>
        <w:t>Federal taxes - excise tax rates on all liquor, plus custom duty rates on imported liquor</w:t>
      </w:r>
    </w:p>
    <w:p w:rsidR="00E73909" w:rsidRPr="00881B7F" w:rsidRDefault="00E73909" w:rsidP="00881B7F">
      <w:pPr>
        <w:pStyle w:val="ListBullet"/>
        <w:numPr>
          <w:ilvl w:val="0"/>
          <w:numId w:val="2"/>
        </w:numPr>
        <w:spacing w:line="240" w:lineRule="auto"/>
        <w:rPr>
          <w:rFonts w:cs="Times New Roman"/>
          <w:sz w:val="20"/>
          <w:szCs w:val="20"/>
        </w:rPr>
      </w:pPr>
      <w:r w:rsidRPr="00881B7F">
        <w:rPr>
          <w:rFonts w:cs="Times New Roman"/>
          <w:sz w:val="20"/>
          <w:szCs w:val="20"/>
        </w:rPr>
        <w:t>Freight costs</w:t>
      </w:r>
    </w:p>
    <w:p w:rsidR="00E73909" w:rsidRPr="00881B7F" w:rsidRDefault="00E73909" w:rsidP="00881B7F">
      <w:pPr>
        <w:pStyle w:val="ListBullet"/>
        <w:numPr>
          <w:ilvl w:val="0"/>
          <w:numId w:val="2"/>
        </w:numPr>
        <w:spacing w:line="240" w:lineRule="auto"/>
        <w:rPr>
          <w:rFonts w:cs="Times New Roman"/>
          <w:sz w:val="20"/>
          <w:szCs w:val="20"/>
        </w:rPr>
      </w:pPr>
      <w:proofErr w:type="gramStart"/>
      <w:r w:rsidRPr="00881B7F">
        <w:rPr>
          <w:rFonts w:cs="Times New Roman"/>
          <w:sz w:val="20"/>
          <w:szCs w:val="20"/>
        </w:rPr>
        <w:t>Markup (see table below), which is controlled by the Board.</w:t>
      </w:r>
      <w:proofErr w:type="gramEnd"/>
      <w:r w:rsidRPr="00881B7F">
        <w:rPr>
          <w:rFonts w:cs="Times New Roman"/>
          <w:sz w:val="20"/>
          <w:szCs w:val="20"/>
        </w:rPr>
        <w:t xml:space="preserve"> Markup covers operating costs of the </w:t>
      </w:r>
      <w:proofErr w:type="gramStart"/>
      <w:r w:rsidRPr="00881B7F">
        <w:rPr>
          <w:rFonts w:cs="Times New Roman"/>
          <w:sz w:val="20"/>
          <w:szCs w:val="20"/>
        </w:rPr>
        <w:t>state liquor control system</w:t>
      </w:r>
      <w:proofErr w:type="gramEnd"/>
      <w:r w:rsidRPr="00881B7F">
        <w:rPr>
          <w:rFonts w:cs="Times New Roman"/>
          <w:sz w:val="20"/>
          <w:szCs w:val="20"/>
        </w:rPr>
        <w:t xml:space="preserve"> and provides a yearly profit that is shared by the state and local government. The Board's markup is comparable to the wholesale and retail markup applied by private businesses and is also expressed as margin on sales for comparative purposes</w:t>
      </w:r>
    </w:p>
    <w:p w:rsidR="00E73909" w:rsidRPr="00881B7F" w:rsidRDefault="00E73909" w:rsidP="00881B7F">
      <w:pPr>
        <w:pStyle w:val="ListBullet"/>
        <w:numPr>
          <w:ilvl w:val="0"/>
          <w:numId w:val="2"/>
        </w:numPr>
        <w:spacing w:line="240" w:lineRule="auto"/>
        <w:rPr>
          <w:rFonts w:cs="Times New Roman"/>
          <w:sz w:val="20"/>
          <w:szCs w:val="20"/>
        </w:rPr>
      </w:pPr>
      <w:r w:rsidRPr="00881B7F">
        <w:rPr>
          <w:rFonts w:cs="Times New Roman"/>
          <w:sz w:val="20"/>
          <w:szCs w:val="20"/>
        </w:rPr>
        <w:t>State sales taxes (see table below), which is set by the state Legislature</w:t>
      </w:r>
    </w:p>
    <w:tbl>
      <w:tblPr>
        <w:tblW w:w="9015" w:type="dxa"/>
        <w:tblInd w:w="240" w:type="dxa"/>
        <w:shd w:val="clear" w:color="auto" w:fill="FFFFFF"/>
        <w:tblCellMar>
          <w:top w:w="15" w:type="dxa"/>
          <w:left w:w="15" w:type="dxa"/>
          <w:bottom w:w="15" w:type="dxa"/>
          <w:right w:w="15" w:type="dxa"/>
        </w:tblCellMar>
        <w:tblLook w:val="04A0"/>
      </w:tblPr>
      <w:tblGrid>
        <w:gridCol w:w="2089"/>
        <w:gridCol w:w="2356"/>
        <w:gridCol w:w="2962"/>
        <w:gridCol w:w="1608"/>
      </w:tblGrid>
      <w:tr w:rsidR="00E73909" w:rsidRPr="00881B7F" w:rsidTr="00E73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bottom"/>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Mark Up</w:t>
            </w:r>
            <w:r w:rsidRPr="00881B7F">
              <w:rPr>
                <w:rFonts w:cs="Times New Roman"/>
                <w:sz w:val="20"/>
                <w:szCs w:val="20"/>
              </w:rPr>
              <w:br/>
              <w:t>on</w:t>
            </w:r>
            <w:r w:rsidRPr="00881B7F">
              <w:rPr>
                <w:rFonts w:cs="Times New Roman"/>
                <w:sz w:val="20"/>
                <w:szCs w:val="20"/>
              </w:rPr>
              <w:br/>
              <w:t>Delivered Cost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bottom"/>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State</w:t>
            </w:r>
            <w:r w:rsidRPr="00881B7F">
              <w:rPr>
                <w:rFonts w:cs="Times New Roman"/>
                <w:sz w:val="20"/>
                <w:szCs w:val="20"/>
              </w:rPr>
              <w:br/>
              <w:t>Liquor</w:t>
            </w:r>
            <w:r w:rsidRPr="00881B7F">
              <w:rPr>
                <w:rFonts w:cs="Times New Roman"/>
                <w:sz w:val="20"/>
                <w:szCs w:val="20"/>
              </w:rPr>
              <w:br/>
              <w:t>Taxes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bottom"/>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State &amp; Local</w:t>
            </w:r>
            <w:r w:rsidRPr="00881B7F">
              <w:rPr>
                <w:rFonts w:cs="Times New Roman"/>
                <w:sz w:val="20"/>
                <w:szCs w:val="20"/>
              </w:rPr>
              <w:br/>
              <w:t>General Retail</w:t>
            </w:r>
            <w:r w:rsidRPr="00881B7F">
              <w:rPr>
                <w:rFonts w:cs="Times New Roman"/>
                <w:sz w:val="20"/>
                <w:szCs w:val="20"/>
              </w:rPr>
              <w:br/>
              <w:t>Sales Tax</w:t>
            </w:r>
            <w:r w:rsidRPr="00881B7F">
              <w:rPr>
                <w:rFonts w:cs="Times New Roman"/>
                <w:sz w:val="20"/>
                <w:szCs w:val="20"/>
              </w:rPr>
              <w:br/>
              <w:t>(collected at</w:t>
            </w:r>
            <w:r w:rsidRPr="00881B7F">
              <w:rPr>
                <w:rFonts w:cs="Times New Roman"/>
                <w:sz w:val="20"/>
                <w:szCs w:val="20"/>
              </w:rPr>
              <w:br/>
              <w:t>time of purchase)</w:t>
            </w:r>
          </w:p>
        </w:tc>
      </w:tr>
      <w:tr w:rsidR="00E73909" w:rsidRPr="00881B7F" w:rsidTr="00E73909">
        <w:tc>
          <w:tcPr>
            <w:tcW w:w="0" w:type="auto"/>
            <w:gridSpan w:val="4"/>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w:t>
            </w:r>
          </w:p>
        </w:tc>
      </w:tr>
      <w:tr w:rsidR="00E73909" w:rsidRPr="00881B7F" w:rsidTr="00E73909">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Distilled Spirits ... </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51.9% + 16.7 cents/liter</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20.5% + $3.7708/liter</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None</w:t>
            </w:r>
          </w:p>
        </w:tc>
      </w:tr>
      <w:tr w:rsidR="00E73909" w:rsidRPr="00881B7F" w:rsidTr="00E73909">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Wine ...</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43.0% </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22.92 cents/liter 14% and under</w:t>
            </w:r>
            <w:r w:rsidRPr="00881B7F">
              <w:rPr>
                <w:rFonts w:cs="Times New Roman"/>
                <w:sz w:val="20"/>
                <w:szCs w:val="20"/>
              </w:rPr>
              <w:br/>
              <w:t>        45.36 cents/liter over 14%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7.0% to 9.5%</w:t>
            </w:r>
            <w:r w:rsidRPr="00881B7F">
              <w:rPr>
                <w:rFonts w:cs="Times New Roman"/>
                <w:sz w:val="20"/>
                <w:szCs w:val="20"/>
              </w:rPr>
              <w:br/>
              <w:t>7.0% to 9.5%</w:t>
            </w:r>
          </w:p>
        </w:tc>
      </w:tr>
      <w:tr w:rsidR="00E73909" w:rsidRPr="00881B7F" w:rsidTr="00E73909">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Malt/Strong Beer </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None </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7.0% to 9.5% </w:t>
            </w:r>
          </w:p>
        </w:tc>
      </w:tr>
      <w:tr w:rsidR="00E73909" w:rsidRPr="00881B7F" w:rsidTr="00E73909">
        <w:tc>
          <w:tcPr>
            <w:tcW w:w="0" w:type="auto"/>
            <w:gridSpan w:val="4"/>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E73909" w:rsidRPr="00881B7F" w:rsidRDefault="00E73909" w:rsidP="00881B7F">
            <w:pPr>
              <w:pStyle w:val="ListBullet"/>
              <w:spacing w:line="240" w:lineRule="auto"/>
              <w:rPr>
                <w:rFonts w:cs="Times New Roman"/>
                <w:sz w:val="20"/>
                <w:szCs w:val="20"/>
              </w:rPr>
            </w:pPr>
            <w:r w:rsidRPr="00881B7F">
              <w:rPr>
                <w:rFonts w:cs="Times New Roman"/>
                <w:sz w:val="20"/>
                <w:szCs w:val="20"/>
              </w:rPr>
              <w:t>  * Merchandise expenses included in markup base.</w:t>
            </w:r>
          </w:p>
        </w:tc>
      </w:tr>
    </w:tbl>
    <w:p w:rsidR="00E73909" w:rsidRPr="00881B7F" w:rsidRDefault="00E73909" w:rsidP="00881B7F">
      <w:pPr>
        <w:pStyle w:val="ListBullet"/>
        <w:numPr>
          <w:ilvl w:val="0"/>
          <w:numId w:val="0"/>
        </w:numPr>
        <w:spacing w:line="240" w:lineRule="auto"/>
        <w:ind w:left="360" w:hanging="360"/>
        <w:rPr>
          <w:rFonts w:cs="Times New Roman"/>
          <w:sz w:val="20"/>
          <w:szCs w:val="20"/>
        </w:rPr>
      </w:pPr>
    </w:p>
    <w:p w:rsidR="00881B7F" w:rsidRPr="00881B7F" w:rsidRDefault="00881B7F" w:rsidP="00881B7F">
      <w:pPr>
        <w:pStyle w:val="ListBullet"/>
        <w:spacing w:line="240" w:lineRule="auto"/>
        <w:rPr>
          <w:rFonts w:cs="Times New Roman"/>
          <w:b/>
          <w:bCs/>
          <w:sz w:val="20"/>
          <w:szCs w:val="20"/>
        </w:rPr>
      </w:pPr>
      <w:r w:rsidRPr="00881B7F">
        <w:rPr>
          <w:rFonts w:cs="Times New Roman"/>
          <w:b/>
          <w:bCs/>
          <w:sz w:val="20"/>
          <w:szCs w:val="20"/>
        </w:rPr>
        <w:t>Container Size</w:t>
      </w:r>
    </w:p>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w:t>
      </w:r>
      <w:r w:rsidRPr="00881B7F">
        <w:rPr>
          <w:rFonts w:cs="Times New Roman"/>
          <w:b/>
          <w:bCs/>
          <w:sz w:val="20"/>
          <w:szCs w:val="20"/>
        </w:rPr>
        <w:t>Distilled Spirits - By Container Size</w:t>
      </w:r>
      <w:r w:rsidRPr="00881B7F">
        <w:rPr>
          <w:rFonts w:cs="Times New Roman"/>
          <w:sz w:val="20"/>
          <w:szCs w:val="20"/>
        </w:rPr>
        <w:br/>
        <w:t> </w:t>
      </w:r>
    </w:p>
    <w:tbl>
      <w:tblPr>
        <w:tblW w:w="9450" w:type="dxa"/>
        <w:tblInd w:w="240" w:type="dxa"/>
        <w:tblCellMar>
          <w:top w:w="15" w:type="dxa"/>
          <w:left w:w="15" w:type="dxa"/>
          <w:bottom w:w="15" w:type="dxa"/>
          <w:right w:w="15" w:type="dxa"/>
        </w:tblCellMar>
        <w:tblLook w:val="04A0"/>
      </w:tblPr>
      <w:tblGrid>
        <w:gridCol w:w="1987"/>
        <w:gridCol w:w="1772"/>
        <w:gridCol w:w="1699"/>
        <w:gridCol w:w="3992"/>
      </w:tblGrid>
      <w:tr w:rsidR="00881B7F" w:rsidRPr="00881B7F" w:rsidTr="00881B7F">
        <w:tc>
          <w:tcPr>
            <w:tcW w:w="1500" w:type="dxa"/>
            <w:tcBorders>
              <w:top w:val="single" w:sz="6" w:space="0" w:color="CCCCCC"/>
              <w:left w:val="single" w:sz="6" w:space="0" w:color="CCCCCC"/>
              <w:bottom w:val="single" w:sz="6" w:space="0" w:color="CCCCCC"/>
              <w:right w:val="single" w:sz="6" w:space="0" w:color="CCCCCC"/>
            </w:tcBorders>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b/>
                <w:bCs/>
                <w:sz w:val="20"/>
                <w:szCs w:val="20"/>
              </w:rPr>
              <w:t>Metric Size</w:t>
            </w:r>
          </w:p>
        </w:tc>
        <w:tc>
          <w:tcPr>
            <w:tcW w:w="1500" w:type="dxa"/>
            <w:tcBorders>
              <w:top w:val="single" w:sz="6" w:space="0" w:color="CCCCCC"/>
              <w:left w:val="single" w:sz="6" w:space="0" w:color="CCCCCC"/>
              <w:bottom w:val="single" w:sz="6" w:space="0" w:color="CCCCCC"/>
              <w:right w:val="single" w:sz="6" w:space="0" w:color="CCCCCC"/>
            </w:tcBorders>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proofErr w:type="spellStart"/>
            <w:r w:rsidRPr="00881B7F">
              <w:rPr>
                <w:rFonts w:cs="Times New Roman"/>
                <w:b/>
                <w:bCs/>
                <w:sz w:val="20"/>
                <w:szCs w:val="20"/>
              </w:rPr>
              <w:t>Btls</w:t>
            </w:r>
            <w:proofErr w:type="spellEnd"/>
            <w:r w:rsidRPr="00881B7F">
              <w:rPr>
                <w:rFonts w:cs="Times New Roman"/>
                <w:b/>
                <w:bCs/>
                <w:sz w:val="20"/>
                <w:szCs w:val="20"/>
              </w:rPr>
              <w:t>. Per Case</w:t>
            </w:r>
          </w:p>
        </w:tc>
        <w:tc>
          <w:tcPr>
            <w:tcW w:w="1500" w:type="dxa"/>
            <w:tcBorders>
              <w:top w:val="single" w:sz="6" w:space="0" w:color="CCCCCC"/>
              <w:left w:val="single" w:sz="6" w:space="0" w:color="CCCCCC"/>
              <w:bottom w:val="single" w:sz="6" w:space="0" w:color="CCCCCC"/>
              <w:right w:val="single" w:sz="6" w:space="0" w:color="CCCCCC"/>
            </w:tcBorders>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b/>
                <w:bCs/>
                <w:sz w:val="20"/>
                <w:szCs w:val="20"/>
              </w:rPr>
              <w:t>U.S. Fluid Oz</w:t>
            </w:r>
          </w:p>
        </w:tc>
        <w:tc>
          <w:tcPr>
            <w:tcW w:w="3525" w:type="dxa"/>
            <w:tcBorders>
              <w:top w:val="single" w:sz="6" w:space="0" w:color="CCCCCC"/>
              <w:left w:val="single" w:sz="6" w:space="0" w:color="CCCCCC"/>
              <w:bottom w:val="single" w:sz="6" w:space="0" w:color="CCCCCC"/>
              <w:right w:val="single" w:sz="6" w:space="0" w:color="CCCCCC"/>
            </w:tcBorders>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b/>
                <w:bCs/>
                <w:sz w:val="20"/>
                <w:szCs w:val="20"/>
              </w:rPr>
              <w:t>Closest Previous Container - U.S.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1.75 Liter</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6</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59.2 oz.</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1/2 Gal. - 64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1.00 Liter</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33.8 oz.</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Qt. - 32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750 Milliliters</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12</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25.4 oz.</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5th - 25.6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500 Milliliters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24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16.9 oz.</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Pt. - 16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375 Milliliters</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24</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12.7 oz.</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Tenth - 12.8 oz</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200 Milliliters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48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6.8 oz.</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w:t>
            </w:r>
          </w:p>
        </w:tc>
      </w:tr>
      <w:tr w:rsidR="00881B7F" w:rsidRPr="00881B7F" w:rsidTr="00881B7F">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50 Milliliters</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120 (varies)</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1.7 oz.</w:t>
            </w:r>
          </w:p>
        </w:tc>
        <w:tc>
          <w:tcPr>
            <w:tcW w:w="0" w:type="auto"/>
            <w:tcBorders>
              <w:top w:val="single" w:sz="6" w:space="0" w:color="CCCCCC"/>
              <w:left w:val="single" w:sz="6" w:space="0" w:color="CCCCCC"/>
              <w:bottom w:val="single" w:sz="6" w:space="0" w:color="CCCCCC"/>
              <w:right w:val="single" w:sz="6" w:space="0" w:color="CCCCCC"/>
            </w:tcBorders>
            <w:shd w:val="clear" w:color="auto" w:fill="D3D3D3"/>
            <w:tcMar>
              <w:top w:w="72" w:type="dxa"/>
              <w:left w:w="72" w:type="dxa"/>
              <w:bottom w:w="72" w:type="dxa"/>
              <w:right w:w="72" w:type="dxa"/>
            </w:tcMar>
            <w:vAlign w:val="center"/>
            <w:hideMark/>
          </w:tcPr>
          <w:p w:rsidR="00881B7F" w:rsidRPr="00881B7F" w:rsidRDefault="00881B7F" w:rsidP="00881B7F">
            <w:pPr>
              <w:pStyle w:val="ListBullet"/>
              <w:spacing w:line="240" w:lineRule="auto"/>
              <w:rPr>
                <w:rFonts w:cs="Times New Roman"/>
                <w:sz w:val="20"/>
                <w:szCs w:val="20"/>
              </w:rPr>
            </w:pPr>
            <w:r w:rsidRPr="00881B7F">
              <w:rPr>
                <w:rFonts w:cs="Times New Roman"/>
                <w:sz w:val="20"/>
                <w:szCs w:val="20"/>
              </w:rPr>
              <w:t>  Miniatures - 1.6 oz</w:t>
            </w:r>
          </w:p>
        </w:tc>
      </w:tr>
    </w:tbl>
    <w:p w:rsidR="00881B7F" w:rsidRPr="00881B7F" w:rsidRDefault="00881B7F" w:rsidP="00881B7F">
      <w:pPr>
        <w:pStyle w:val="ListBullet"/>
        <w:numPr>
          <w:ilvl w:val="0"/>
          <w:numId w:val="0"/>
        </w:numPr>
        <w:spacing w:line="240" w:lineRule="auto"/>
        <w:ind w:left="360" w:hanging="360"/>
        <w:rPr>
          <w:rFonts w:cs="Times New Roman"/>
          <w:sz w:val="20"/>
          <w:szCs w:val="20"/>
        </w:rPr>
      </w:pPr>
    </w:p>
    <w:sectPr w:rsidR="00881B7F" w:rsidRPr="00881B7F" w:rsidSect="00A273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950F11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5F35B10"/>
    <w:multiLevelType w:val="multilevel"/>
    <w:tmpl w:val="81288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73909"/>
    <w:rsid w:val="00136089"/>
    <w:rsid w:val="003E07D2"/>
    <w:rsid w:val="00441114"/>
    <w:rsid w:val="00881B7F"/>
    <w:rsid w:val="009053EA"/>
    <w:rsid w:val="00A27363"/>
    <w:rsid w:val="00E23F97"/>
    <w:rsid w:val="00E73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114"/>
    <w:pPr>
      <w:spacing w:after="0"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73909"/>
    <w:pPr>
      <w:numPr>
        <w:numId w:val="1"/>
      </w:numPr>
      <w:contextualSpacing/>
    </w:pPr>
  </w:style>
</w:styles>
</file>

<file path=word/webSettings.xml><?xml version="1.0" encoding="utf-8"?>
<w:webSettings xmlns:r="http://schemas.openxmlformats.org/officeDocument/2006/relationships" xmlns:w="http://schemas.openxmlformats.org/wordprocessingml/2006/main">
  <w:divs>
    <w:div w:id="11345639">
      <w:bodyDiv w:val="1"/>
      <w:marLeft w:val="0"/>
      <w:marRight w:val="0"/>
      <w:marTop w:val="0"/>
      <w:marBottom w:val="0"/>
      <w:divBdr>
        <w:top w:val="none" w:sz="0" w:space="0" w:color="auto"/>
        <w:left w:val="none" w:sz="0" w:space="0" w:color="auto"/>
        <w:bottom w:val="none" w:sz="0" w:space="0" w:color="auto"/>
        <w:right w:val="none" w:sz="0" w:space="0" w:color="auto"/>
      </w:divBdr>
      <w:divsChild>
        <w:div w:id="160901563">
          <w:marLeft w:val="0"/>
          <w:marRight w:val="0"/>
          <w:marTop w:val="0"/>
          <w:marBottom w:val="0"/>
          <w:divBdr>
            <w:top w:val="none" w:sz="0" w:space="0" w:color="auto"/>
            <w:left w:val="none" w:sz="0" w:space="0" w:color="auto"/>
            <w:bottom w:val="none" w:sz="0" w:space="0" w:color="auto"/>
            <w:right w:val="none" w:sz="0" w:space="0" w:color="auto"/>
          </w:divBdr>
          <w:divsChild>
            <w:div w:id="5947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474712">
      <w:bodyDiv w:val="1"/>
      <w:marLeft w:val="0"/>
      <w:marRight w:val="0"/>
      <w:marTop w:val="0"/>
      <w:marBottom w:val="0"/>
      <w:divBdr>
        <w:top w:val="none" w:sz="0" w:space="0" w:color="auto"/>
        <w:left w:val="none" w:sz="0" w:space="0" w:color="auto"/>
        <w:bottom w:val="none" w:sz="0" w:space="0" w:color="auto"/>
        <w:right w:val="none" w:sz="0" w:space="0" w:color="auto"/>
      </w:divBdr>
      <w:divsChild>
        <w:div w:id="1709573381">
          <w:marLeft w:val="0"/>
          <w:marRight w:val="0"/>
          <w:marTop w:val="0"/>
          <w:marBottom w:val="0"/>
          <w:divBdr>
            <w:top w:val="none" w:sz="0" w:space="0" w:color="auto"/>
            <w:left w:val="none" w:sz="0" w:space="0" w:color="auto"/>
            <w:bottom w:val="none" w:sz="0" w:space="0" w:color="auto"/>
            <w:right w:val="none" w:sz="0" w:space="0" w:color="auto"/>
          </w:divBdr>
          <w:divsChild>
            <w:div w:id="839657320">
              <w:marLeft w:val="0"/>
              <w:marRight w:val="0"/>
              <w:marTop w:val="0"/>
              <w:marBottom w:val="0"/>
              <w:divBdr>
                <w:top w:val="none" w:sz="0" w:space="0" w:color="auto"/>
                <w:left w:val="none" w:sz="0" w:space="0" w:color="auto"/>
                <w:bottom w:val="none" w:sz="0" w:space="0" w:color="auto"/>
                <w:right w:val="none" w:sz="0" w:space="0" w:color="auto"/>
              </w:divBdr>
              <w:divsChild>
                <w:div w:id="18076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37326">
      <w:bodyDiv w:val="1"/>
      <w:marLeft w:val="0"/>
      <w:marRight w:val="0"/>
      <w:marTop w:val="0"/>
      <w:marBottom w:val="0"/>
      <w:divBdr>
        <w:top w:val="none" w:sz="0" w:space="0" w:color="auto"/>
        <w:left w:val="none" w:sz="0" w:space="0" w:color="auto"/>
        <w:bottom w:val="none" w:sz="0" w:space="0" w:color="auto"/>
        <w:right w:val="none" w:sz="0" w:space="0" w:color="auto"/>
      </w:divBdr>
      <w:divsChild>
        <w:div w:id="487132164">
          <w:marLeft w:val="0"/>
          <w:marRight w:val="0"/>
          <w:marTop w:val="0"/>
          <w:marBottom w:val="0"/>
          <w:divBdr>
            <w:top w:val="none" w:sz="0" w:space="0" w:color="auto"/>
            <w:left w:val="none" w:sz="0" w:space="0" w:color="auto"/>
            <w:bottom w:val="none" w:sz="0" w:space="0" w:color="auto"/>
            <w:right w:val="none" w:sz="0" w:space="0" w:color="auto"/>
          </w:divBdr>
          <w:divsChild>
            <w:div w:id="159130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4064">
      <w:bodyDiv w:val="1"/>
      <w:marLeft w:val="0"/>
      <w:marRight w:val="0"/>
      <w:marTop w:val="0"/>
      <w:marBottom w:val="0"/>
      <w:divBdr>
        <w:top w:val="none" w:sz="0" w:space="0" w:color="auto"/>
        <w:left w:val="none" w:sz="0" w:space="0" w:color="auto"/>
        <w:bottom w:val="none" w:sz="0" w:space="0" w:color="auto"/>
        <w:right w:val="none" w:sz="0" w:space="0" w:color="auto"/>
      </w:divBdr>
      <w:divsChild>
        <w:div w:id="659307964">
          <w:marLeft w:val="0"/>
          <w:marRight w:val="0"/>
          <w:marTop w:val="0"/>
          <w:marBottom w:val="0"/>
          <w:divBdr>
            <w:top w:val="none" w:sz="0" w:space="0" w:color="auto"/>
            <w:left w:val="none" w:sz="0" w:space="0" w:color="auto"/>
            <w:bottom w:val="none" w:sz="0" w:space="0" w:color="auto"/>
            <w:right w:val="none" w:sz="0" w:space="0" w:color="auto"/>
          </w:divBdr>
          <w:divsChild>
            <w:div w:id="751390900">
              <w:marLeft w:val="0"/>
              <w:marRight w:val="0"/>
              <w:marTop w:val="0"/>
              <w:marBottom w:val="0"/>
              <w:divBdr>
                <w:top w:val="none" w:sz="0" w:space="0" w:color="auto"/>
                <w:left w:val="none" w:sz="0" w:space="0" w:color="auto"/>
                <w:bottom w:val="none" w:sz="0" w:space="0" w:color="auto"/>
                <w:right w:val="none" w:sz="0" w:space="0" w:color="auto"/>
              </w:divBdr>
              <w:divsChild>
                <w:div w:id="70425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Nicodemus</dc:creator>
  <cp:lastModifiedBy>Nicodemus</cp:lastModifiedBy>
  <cp:revision>2</cp:revision>
  <dcterms:created xsi:type="dcterms:W3CDTF">2012-03-08T00:09:00Z</dcterms:created>
  <dcterms:modified xsi:type="dcterms:W3CDTF">2012-03-08T00:14:00Z</dcterms:modified>
</cp:coreProperties>
</file>